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BDF0" w14:textId="57C26709" w:rsidR="00810D7B" w:rsidRPr="00A378EF" w:rsidRDefault="0011377F" w:rsidP="00810D7B">
      <w:pPr>
        <w:autoSpaceDE w:val="0"/>
        <w:autoSpaceDN w:val="0"/>
        <w:adjustRightInd w:val="0"/>
        <w:jc w:val="center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FONDO DE APOYO A</w:t>
      </w:r>
      <w:r w:rsidR="00810D7B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L DESARROLLO DE INVESTIGACIÓN (FADI)</w:t>
      </w:r>
    </w:p>
    <w:p w14:paraId="33BA8F88" w14:textId="2E6B6D47" w:rsidR="0011377F" w:rsidRPr="00A378EF" w:rsidRDefault="0011377F" w:rsidP="0011377F">
      <w:pPr>
        <w:autoSpaceDE w:val="0"/>
        <w:autoSpaceDN w:val="0"/>
        <w:adjustRightInd w:val="0"/>
        <w:jc w:val="center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</w:p>
    <w:p w14:paraId="17212B1A" w14:textId="449F38DD" w:rsidR="0011377F" w:rsidRPr="00A378EF" w:rsidRDefault="0011377F" w:rsidP="0011377F">
      <w:pPr>
        <w:autoSpaceDE w:val="0"/>
        <w:autoSpaceDN w:val="0"/>
        <w:adjustRightInd w:val="0"/>
        <w:jc w:val="center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BASES CONCURSO 202</w:t>
      </w:r>
      <w:r w:rsidR="00BF0FA5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2</w:t>
      </w: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 xml:space="preserve"> – VENTANILLA ABIERTA</w:t>
      </w:r>
    </w:p>
    <w:p w14:paraId="2D6CEFE5" w14:textId="77777777" w:rsidR="0011377F" w:rsidRPr="00A378EF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</w:p>
    <w:p w14:paraId="682EE8B7" w14:textId="52179C7A" w:rsidR="0011377F" w:rsidRPr="00A378EF" w:rsidRDefault="0011377F" w:rsidP="0011377F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Objetivo</w:t>
      </w:r>
    </w:p>
    <w:p w14:paraId="1543FD7F" w14:textId="77777777" w:rsidR="00D84D8A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La Clínica Universidad de los Andes </w:t>
      </w:r>
      <w:r w:rsidR="00D84D8A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busca impulsar a investigadores que se inician en investigación. Se apoyará a </w:t>
      </w:r>
      <w:r w:rsidR="00810D7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proyectos </w:t>
      </w:r>
      <w:r w:rsidR="00D84D8A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que finalicen con al menos una publicación de sus resultados en revistas indexadas. </w:t>
      </w:r>
    </w:p>
    <w:p w14:paraId="527E0DDF" w14:textId="77777777" w:rsidR="00D84D8A" w:rsidRDefault="00D84D8A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3D5C3264" w14:textId="33AA7737" w:rsidR="0011377F" w:rsidRPr="00A378EF" w:rsidRDefault="00D84D8A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Se aplicarán las siguientes bases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:</w:t>
      </w:r>
    </w:p>
    <w:p w14:paraId="61618D39" w14:textId="17C98A8E" w:rsidR="0011377F" w:rsidRPr="00A378EF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1505F382" w14:textId="29F74A91" w:rsidR="0011377F" w:rsidRPr="00A378EF" w:rsidRDefault="0011377F" w:rsidP="0011377F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 xml:space="preserve">Requisitos del </w:t>
      </w:r>
      <w:r w:rsidR="00810D7B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Investigador Principal (IP) o Responsable (IR) en la Clínica</w:t>
      </w:r>
    </w:p>
    <w:p w14:paraId="4EA1DD1B" w14:textId="6D4144B1" w:rsidR="00EA0E35" w:rsidRPr="00A378EF" w:rsidRDefault="0011377F" w:rsidP="00CC2410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Podrán postular funcionarios de la clínica 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con vínculo vigente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que </w:t>
      </w:r>
      <w:r w:rsidR="00810D7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presenten un proyecto de investigación en calidad de IP o IR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</w:p>
    <w:p w14:paraId="54F8B7F9" w14:textId="7796B362" w:rsidR="0011377F" w:rsidRDefault="0011377F" w:rsidP="00D7256B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Se aceptará sólo una postulación </w:t>
      </w:r>
      <w:r w:rsidR="00810D7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anual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por </w:t>
      </w:r>
      <w:r w:rsidR="00810D7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Investigador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6B6CBE72" w14:textId="2452B48C" w:rsidR="000248CA" w:rsidRPr="00A378EF" w:rsidRDefault="000248CA" w:rsidP="00D7256B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No podrán postular investigadores con concursos (FADI) abiertos </w:t>
      </w:r>
    </w:p>
    <w:p w14:paraId="0BD348C1" w14:textId="7201E6E0" w:rsidR="00EA0E35" w:rsidRPr="00A378EF" w:rsidRDefault="00EA0E35" w:rsidP="0011377F">
      <w:pPr>
        <w:autoSpaceDE w:val="0"/>
        <w:autoSpaceDN w:val="0"/>
        <w:adjustRightInd w:val="0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</w:p>
    <w:p w14:paraId="64B6B0FC" w14:textId="1FC876C6" w:rsidR="0011377F" w:rsidRPr="00A378EF" w:rsidRDefault="000248CA" w:rsidP="00B63AE9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Postulación</w:t>
      </w:r>
    </w:p>
    <w:p w14:paraId="3A7FFAF5" w14:textId="77777777" w:rsidR="000248CA" w:rsidRDefault="000248CA" w:rsidP="000248CA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IP o IR deberá presentar a la </w:t>
      </w:r>
      <w:proofErr w:type="spellStart"/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DIDeP</w:t>
      </w:r>
      <w:proofErr w:type="spellEnd"/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el protocolo del estudio según la normativa vigente en la Clínica para tales fines</w:t>
      </w:r>
    </w:p>
    <w:p w14:paraId="0408A0FD" w14:textId="48147766" w:rsidR="000248CA" w:rsidRDefault="000248CA" w:rsidP="000248CA">
      <w:pPr>
        <w:pStyle w:val="Prrafodelista"/>
        <w:numPr>
          <w:ilvl w:val="1"/>
          <w:numId w:val="14"/>
        </w:numPr>
        <w:autoSpaceDE w:val="0"/>
        <w:autoSpaceDN w:val="0"/>
        <w:adjustRightInd w:val="0"/>
        <w:ind w:left="1418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Presentar formulario de postulación FADI</w:t>
      </w:r>
      <w:r w:rsidR="00C24E23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(Anexo </w:t>
      </w:r>
      <w:r w:rsidR="00282A6D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1</w:t>
      </w:r>
      <w:r w:rsidR="00C24E23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)</w:t>
      </w:r>
      <w:r w:rsidR="00282A6D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con </w:t>
      </w:r>
      <w:r w:rsidR="00282A6D" w:rsidRPr="000248CA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toda la documentación requerida</w:t>
      </w:r>
      <w:r w:rsidR="00282A6D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.</w:t>
      </w:r>
    </w:p>
    <w:p w14:paraId="43E1F87D" w14:textId="24255785" w:rsidR="0011377F" w:rsidRDefault="00EA0E35" w:rsidP="00122F11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</w:t>
      </w:r>
      <w:r w:rsidR="0035310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proyecto 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debe estar </w:t>
      </w:r>
      <w:r w:rsidR="0035310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visado en cuanto al diseño metodológico y factibilidad de desarrollo por la </w:t>
      </w:r>
      <w:proofErr w:type="spellStart"/>
      <w:r w:rsidR="0035310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DIDeP</w:t>
      </w:r>
      <w:proofErr w:type="spellEnd"/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479B4DCD" w14:textId="394EE45B" w:rsidR="00C24E23" w:rsidRPr="00A378EF" w:rsidRDefault="00C24E23" w:rsidP="00122F11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El estudio debe estar visado por el Comité de Ética de la Universidad de los Andes para recibir el financiamiento e iniciar actividades.</w:t>
      </w:r>
    </w:p>
    <w:p w14:paraId="7FCF91C4" w14:textId="600834FF" w:rsidR="0011377F" w:rsidRPr="00A378EF" w:rsidRDefault="00353104" w:rsidP="00976805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proyecto 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debe corresponder a un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estudio científico 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o mejora continua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original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que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busque extender el conocimiento actual de la disciplina o mejorar procesos, técnicas o procedimientos en salud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6734A570" w14:textId="77777777" w:rsidR="000248CA" w:rsidRDefault="000248CA" w:rsidP="000248CA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41E2549D" w14:textId="4313BC89" w:rsidR="000248CA" w:rsidRPr="000248CA" w:rsidRDefault="000248CA" w:rsidP="000248CA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0248CA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Quedarán fuera de bases las postulaciones que cuenten con financiamiento interno o externo para el proyecto postulado.</w:t>
      </w:r>
    </w:p>
    <w:p w14:paraId="2827B762" w14:textId="67415522" w:rsidR="00B63AE9" w:rsidRPr="00A378EF" w:rsidRDefault="00B63AE9" w:rsidP="00B63AE9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33ADCF71" w14:textId="4D562302" w:rsidR="00B63AE9" w:rsidRPr="00A378EF" w:rsidRDefault="000248CA" w:rsidP="00B63AE9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Compromiso del IP/IR</w:t>
      </w:r>
    </w:p>
    <w:p w14:paraId="13FFDC38" w14:textId="7E43C59E" w:rsidR="00841ABB" w:rsidRDefault="00841ABB" w:rsidP="0029266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Al finalizar el proyecto el Investigador se compromete a enviar un informe técnico y un informe económico sobre el uso de recursos adjudicados.</w:t>
      </w:r>
    </w:p>
    <w:p w14:paraId="7EF7FD13" w14:textId="7992E8F4" w:rsidR="000248CA" w:rsidRDefault="000248CA" w:rsidP="0029266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Para poner término al proyecto, el investigador beneficiario </w:t>
      </w:r>
      <w:r w:rsid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debe tener un artículo aceptado/publicado sobre con los resultados del proyecto adjudicado. El investigador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se compromete a enviar al menos un artículo científico a una revista de alto impacto</w:t>
      </w:r>
      <w:r w:rsid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="00C24E23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(</w:t>
      </w:r>
      <w:hyperlink r:id="rId8" w:history="1">
        <w:r w:rsidR="00C24E23" w:rsidRPr="00A378EF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https://www.scimagojr.com/</w:t>
        </w:r>
      </w:hyperlink>
      <w:r w:rsid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;</w:t>
      </w:r>
      <w:r w:rsidR="00C24E23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Q1 o Q2), con filiación “Clínica Universidad de los Andes, Chile”.</w:t>
      </w:r>
    </w:p>
    <w:p w14:paraId="5BF24D78" w14:textId="77777777" w:rsidR="00841ABB" w:rsidRDefault="00841ABB" w:rsidP="00841ABB">
      <w:pPr>
        <w:pStyle w:val="Prrafodelista"/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5781DE8E" w14:textId="2C43CCD2" w:rsidR="00841ABB" w:rsidRDefault="00841ABB" w:rsidP="00841ABB">
      <w:pPr>
        <w:pStyle w:val="Prrafodelista"/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401568F5" w14:textId="10686296" w:rsidR="00841ABB" w:rsidRDefault="00841ABB" w:rsidP="00841ABB">
      <w:pPr>
        <w:pStyle w:val="Prrafodelista"/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5C9F3B7E" w14:textId="77777777" w:rsidR="00DE4270" w:rsidRPr="00A378EF" w:rsidRDefault="00DE4270" w:rsidP="00B63AE9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6D831228" w14:textId="63BA49C8" w:rsidR="00040DE6" w:rsidRPr="00A378EF" w:rsidRDefault="0011377F" w:rsidP="00040DE6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Beneficios</w:t>
      </w:r>
    </w:p>
    <w:p w14:paraId="3ED66F73" w14:textId="06EE69EB" w:rsidR="0011377F" w:rsidRPr="00A378EF" w:rsidRDefault="00C24E23" w:rsidP="005D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proofErr w:type="gramStart"/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EL monto m</w:t>
      </w:r>
      <w:r w:rsidRP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áximo a solicitar</w:t>
      </w:r>
      <w:proofErr w:type="gramEnd"/>
      <w:r w:rsidRP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es </w:t>
      </w:r>
      <w:r w:rsidR="0011377F" w:rsidRP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$</w:t>
      </w:r>
      <w:r w:rsidR="00040DE6" w:rsidRP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1.00</w:t>
      </w:r>
      <w:r w:rsidR="0011377F" w:rsidRP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0.000</w:t>
      </w:r>
      <w:r w:rsidRP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, para ser utilizado en un máximo de 12 meses</w:t>
      </w:r>
      <w:r w:rsidR="0011377F" w:rsidRPr="00C24E2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4C96536E" w14:textId="4BEAFE9C" w:rsidR="00040DE6" w:rsidRPr="00A378EF" w:rsidRDefault="0011377F" w:rsidP="0011377F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investigador podrá </w:t>
      </w:r>
      <w:r w:rsid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adjudicarse como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máximo </w:t>
      </w:r>
      <w:r w:rsidR="00040DE6" w:rsidRPr="00A378EF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un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concurso 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 año.</w:t>
      </w:r>
    </w:p>
    <w:p w14:paraId="61F3C963" w14:textId="649C25C4" w:rsidR="001E11AD" w:rsidRPr="00841ABB" w:rsidRDefault="00841ABB" w:rsidP="00040DE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concurso adjudicará </w:t>
      </w:r>
      <w:r w:rsidR="001E11AD" w:rsidRP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un máximo de 3 </w:t>
      </w:r>
      <w:r w:rsidRP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fondos </w:t>
      </w:r>
      <w:r w:rsidR="001E11AD" w:rsidRP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anualmente</w:t>
      </w:r>
    </w:p>
    <w:p w14:paraId="54FC788A" w14:textId="2304FDA9" w:rsidR="0011377F" w:rsidRPr="00A378EF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3928EC43" w14:textId="11F71D40" w:rsidR="00040DE6" w:rsidRPr="00A378EF" w:rsidRDefault="0011377F" w:rsidP="00040DE6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Postulaciones y plazos</w:t>
      </w:r>
    </w:p>
    <w:p w14:paraId="57E8D89F" w14:textId="5DF35961" w:rsidR="001E11AD" w:rsidRDefault="008747E7" w:rsidP="004360E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8747E7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Las postulaciones se realizarán a través del siguiente </w:t>
      </w:r>
      <w:r w:rsidR="001202C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correo</w:t>
      </w:r>
      <w:r w:rsidRPr="008747E7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:</w:t>
      </w:r>
      <w:r w:rsidR="001202C3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hyperlink r:id="rId9" w:history="1">
        <w:r w:rsidR="001202C3" w:rsidRPr="007E1563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investigacion@clinicauandes.cl</w:t>
        </w:r>
      </w:hyperlink>
    </w:p>
    <w:p w14:paraId="297D5FC1" w14:textId="6A518F17" w:rsidR="001E11AD" w:rsidRPr="00A378EF" w:rsidRDefault="001E11AD" w:rsidP="007945E0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El sistema de postulación es de ventanilla abierta</w:t>
      </w:r>
      <w:r w:rsidR="00A378E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y </w:t>
      </w:r>
      <w:r w:rsid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postulaci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o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n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se validará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n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dentro de 10 días hábiles a la presentación de antecedentes.</w:t>
      </w:r>
    </w:p>
    <w:p w14:paraId="68C9401C" w14:textId="77777777" w:rsidR="00967D0B" w:rsidRPr="00A378EF" w:rsidRDefault="00967D0B" w:rsidP="001E11A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concurso fallará cada 4 meses: </w:t>
      </w:r>
    </w:p>
    <w:p w14:paraId="4D1027E1" w14:textId="77777777" w:rsidR="00ED10D7" w:rsidRPr="00A378EF" w:rsidRDefault="00ED10D7" w:rsidP="00ED10D7">
      <w:pPr>
        <w:pStyle w:val="Prrafodelista"/>
        <w:numPr>
          <w:ilvl w:val="2"/>
          <w:numId w:val="12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  <w:bookmarkStart w:id="0" w:name="_Hlk97040471"/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Abril</w:t>
      </w: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: para las postulaciones enviadas entre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diciembre</w:t>
      </w: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del año anterior </w:t>
      </w: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y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marzo del año en curso</w:t>
      </w:r>
    </w:p>
    <w:p w14:paraId="7FD6C484" w14:textId="2E8E31F9" w:rsidR="00ED10D7" w:rsidRPr="00A378EF" w:rsidRDefault="001202C3" w:rsidP="00ED10D7">
      <w:pPr>
        <w:pStyle w:val="Prrafodelista"/>
        <w:numPr>
          <w:ilvl w:val="2"/>
          <w:numId w:val="12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Septiembre</w:t>
      </w:r>
      <w:r w:rsidR="00ED10D7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: para las postulaciones enviadas entre </w:t>
      </w:r>
      <w:r w:rsidR="00ED10D7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abril</w:t>
      </w:r>
      <w:r w:rsidR="00ED10D7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y </w:t>
      </w:r>
      <w:r w:rsidR="002F63A0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agosto</w:t>
      </w:r>
    </w:p>
    <w:p w14:paraId="6D3DFDBA" w14:textId="77777777" w:rsidR="00ED10D7" w:rsidRPr="00A378EF" w:rsidRDefault="00ED10D7" w:rsidP="00ED10D7">
      <w:pPr>
        <w:pStyle w:val="Prrafodelista"/>
        <w:numPr>
          <w:ilvl w:val="2"/>
          <w:numId w:val="12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Diciembre</w:t>
      </w: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: para las postulaciones enviadas entre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agosto</w:t>
      </w: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y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noviembre</w:t>
      </w:r>
    </w:p>
    <w:p w14:paraId="06A1CE38" w14:textId="650AAEC0" w:rsidR="00DE4270" w:rsidRPr="00A378EF" w:rsidRDefault="00A378EF" w:rsidP="001E11A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En cada período, l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as postulaciones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aceptadas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competirán 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entre sí, otorgándose el incentivo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al </w:t>
      </w:r>
      <w:r w:rsidR="00841AB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protocolo que obtenga el mayor puntaje según la escala definida en el punto </w:t>
      </w:r>
      <w:r w:rsidR="00ED4DCA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7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bookmarkEnd w:id="0"/>
    <w:p w14:paraId="37DD163A" w14:textId="77777777" w:rsidR="00ED4DCA" w:rsidRDefault="00ED4DCA" w:rsidP="00747910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581834AE" w14:textId="692E8980" w:rsidR="00747910" w:rsidRPr="00747910" w:rsidRDefault="00747910" w:rsidP="0074791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Revisión y Aprobación</w:t>
      </w:r>
    </w:p>
    <w:p w14:paraId="717A85F1" w14:textId="77777777" w:rsidR="00747910" w:rsidRDefault="00747910" w:rsidP="00747910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Al cerrar las postulaciones la </w:t>
      </w:r>
      <w:proofErr w:type="spellStart"/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DIDeP</w:t>
      </w:r>
      <w:proofErr w:type="spellEnd"/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revisará el cumplimiento de los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requisitos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mencionados en el punto 3 de las bases. </w:t>
      </w:r>
    </w:p>
    <w:p w14:paraId="47EA3815" w14:textId="1C1EE75E" w:rsidR="00747910" w:rsidRDefault="00747910" w:rsidP="00ED4DCA">
      <w:pPr>
        <w:pStyle w:val="Prrafodelista"/>
        <w:numPr>
          <w:ilvl w:val="1"/>
          <w:numId w:val="18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Los proyectos que no cumplan los requisitos de </w:t>
      </w:r>
      <w:r w:rsidR="00ED10D7"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postulación</w:t>
      </w: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estén incompletos o no sean enviados en el formato indicado, serán declarados inadmisibles.</w:t>
      </w:r>
    </w:p>
    <w:p w14:paraId="02141903" w14:textId="7AD8F60B" w:rsidR="00747910" w:rsidRDefault="00747910" w:rsidP="00ED4DCA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Los antecedentes de las propuestas serán enviados a pares evaluadores, expertos en el tema de investigación, los cuales evaluarán calidad y viabilidad de la propuesta, y la trayectoria del postulante.</w:t>
      </w:r>
    </w:p>
    <w:p w14:paraId="2173DFBC" w14:textId="1AA14B3A" w:rsidR="00747910" w:rsidRPr="00747910" w:rsidRDefault="00747910" w:rsidP="00ED4DCA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Se bonificará a proyectos provenientes de servicios de la Clínica con menor desarrollo en investigación.</w:t>
      </w:r>
    </w:p>
    <w:p w14:paraId="71073DDC" w14:textId="27701ADB" w:rsidR="00747910" w:rsidRDefault="00747910" w:rsidP="00747910">
      <w:pPr>
        <w:autoSpaceDE w:val="0"/>
        <w:autoSpaceDN w:val="0"/>
        <w:adjustRightInd w:val="0"/>
        <w:ind w:left="34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 </w:t>
      </w:r>
      <w:r w:rsidR="00B81C86"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continuación,</w:t>
      </w: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se detallan los aspectos evaluados, la ponderación de cada ítem y la escala de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evaluación utilizada:</w:t>
      </w:r>
    </w:p>
    <w:p w14:paraId="618A8AA9" w14:textId="569AB234" w:rsidR="00747910" w:rsidRDefault="00747910" w:rsidP="00747910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Calidad (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6</w:t>
      </w: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0%): Fundamentos teóricos-conceptuales y estado del arte; calidad y coherencia de las preguntas o hipótesis y objetivos; pertinencia y validez de la metodología y su coherencia con los objetivos e hipótesis o preguntas de investigación; plan de trabajo, cronograma y carta Gantt; potencial impacto y novedad científica o tecnológica.</w:t>
      </w:r>
    </w:p>
    <w:p w14:paraId="4091533D" w14:textId="77777777" w:rsidR="00747910" w:rsidRDefault="00747910" w:rsidP="00747910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Viabilidad (15%): Coherencia del plan de trabajo con la propuesta; pertinencia de los recursos solicitados para su ejecución; capacidad y experiencia del postulante para ejecutar la propuesta.</w:t>
      </w:r>
    </w:p>
    <w:p w14:paraId="529CE434" w14:textId="58440F94" w:rsidR="00747910" w:rsidRDefault="00747910" w:rsidP="00747910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lastRenderedPageBreak/>
        <w:t>Trayectoria (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1</w:t>
      </w:r>
      <w:r w:rsidRPr="00747910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5%): Antecedentes curriculares; publicaciones*; contribución o vinculación con la sociedad y el medio.</w:t>
      </w:r>
    </w:p>
    <w:p w14:paraId="46167596" w14:textId="3499F244" w:rsidR="00747910" w:rsidRDefault="00B81C86" w:rsidP="00747910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Servicio de procedencia (10%): Se bonificará a los servicios sin o con escasa (2 o menos proyectos durante el año calendario anterior) productividad en investigación.</w:t>
      </w:r>
    </w:p>
    <w:p w14:paraId="10EFF3CC" w14:textId="6F511A8F" w:rsidR="00B81C86" w:rsidRDefault="00B81C86" w:rsidP="00B81C86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1574E39A" w14:textId="404C43F7" w:rsidR="00B81C86" w:rsidRDefault="00B81C86" w:rsidP="00B81C86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60"/>
        <w:gridCol w:w="6700"/>
      </w:tblGrid>
      <w:tr w:rsidR="00B81C86" w:rsidRPr="00B81C86" w14:paraId="214407CC" w14:textId="77777777" w:rsidTr="00B81C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1265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Calificación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66E8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Categoría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D7A8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Significado</w:t>
            </w:r>
          </w:p>
        </w:tc>
      </w:tr>
      <w:tr w:rsidR="00B81C86" w:rsidRPr="00B81C86" w14:paraId="434FEA59" w14:textId="77777777" w:rsidTr="00B81C86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E6B0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D602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EXCELENTE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1665" w14:textId="77777777" w:rsidR="00B81C86" w:rsidRPr="00B81C86" w:rsidRDefault="00B81C86" w:rsidP="00B81C8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cumple/aborda de manera sobresaliente todos los aspectos relevantes del criterio en cuestión, cualquier debilidad es muy menor</w:t>
            </w:r>
          </w:p>
        </w:tc>
      </w:tr>
      <w:tr w:rsidR="00B81C86" w:rsidRPr="00B81C86" w14:paraId="7FB9B7E5" w14:textId="77777777" w:rsidTr="00B81C86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2103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4 - 4,9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5146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Muy Bueno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B489" w14:textId="77777777" w:rsidR="00B81C86" w:rsidRPr="00B81C86" w:rsidRDefault="00B81C86" w:rsidP="00B81C8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cumple/aborda los aspectos del criterio de muy buena manera, aun cuando son posibles ciertas mejoras</w:t>
            </w:r>
          </w:p>
        </w:tc>
      </w:tr>
      <w:tr w:rsidR="00B81C86" w:rsidRPr="00B81C86" w14:paraId="784CDC92" w14:textId="77777777" w:rsidTr="00B81C86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BB03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3 - 3,9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2E70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Bueno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8269" w14:textId="77777777" w:rsidR="00B81C86" w:rsidRPr="00B81C86" w:rsidRDefault="00B81C86" w:rsidP="00B81C8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cumple/aborda los aspectos del criterio de buena manera, aunque se requieren algunas mejoras</w:t>
            </w:r>
          </w:p>
        </w:tc>
      </w:tr>
      <w:tr w:rsidR="00B81C86" w:rsidRPr="00B81C86" w14:paraId="1252A95C" w14:textId="77777777" w:rsidTr="00B81C86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B27E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2 - 2,9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6383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Regular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8D55" w14:textId="77777777" w:rsidR="00B81C86" w:rsidRPr="00B81C86" w:rsidRDefault="00B81C86" w:rsidP="00B81C8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cumple/aborda en términos generales los aspectos del criterio, pero existen importantes deficiencias</w:t>
            </w:r>
          </w:p>
        </w:tc>
      </w:tr>
      <w:tr w:rsidR="00B81C86" w:rsidRPr="00B81C86" w14:paraId="38D42EFE" w14:textId="77777777" w:rsidTr="00B81C86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D9BC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1 - 1,9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B452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Deficiente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A261" w14:textId="77777777" w:rsidR="00B81C86" w:rsidRPr="00B81C86" w:rsidRDefault="00B81C86" w:rsidP="00B81C8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no cumple/no aborda adecuadamente los aspectos del criterio o hay graves deficiencias inherentes</w:t>
            </w:r>
          </w:p>
        </w:tc>
      </w:tr>
      <w:tr w:rsidR="00B81C86" w:rsidRPr="00B81C86" w14:paraId="188F0EA8" w14:textId="77777777" w:rsidTr="00B81C86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9240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0 - 0,9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8222" w14:textId="77777777" w:rsidR="00B81C86" w:rsidRPr="00B81C86" w:rsidRDefault="00B81C86" w:rsidP="00B81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No Califica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B26E0" w14:textId="77777777" w:rsidR="00B81C86" w:rsidRPr="00B81C86" w:rsidRDefault="00B81C86" w:rsidP="00B81C8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B81C86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no cumple/no aborda el criterio o no puede ser evaluado debido a la falta de antecedentes o información incompleta</w:t>
            </w:r>
          </w:p>
        </w:tc>
      </w:tr>
    </w:tbl>
    <w:p w14:paraId="48D83D56" w14:textId="20AF5E81" w:rsidR="00B81C86" w:rsidRDefault="00B81C86" w:rsidP="00B81C86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CIDFont+F1" w:eastAsiaTheme="minorHAnsi" w:hAnsi="CIDFont+F1" w:cs="CIDFont+F1"/>
          <w:sz w:val="21"/>
          <w:szCs w:val="21"/>
          <w:lang w:val="es-CL" w:eastAsia="en-US"/>
        </w:rPr>
        <w:t>No se adjudicarán proyectos que obtengan un puntaje final inferior a 3,5 puntos.</w:t>
      </w:r>
    </w:p>
    <w:p w14:paraId="1F8202B7" w14:textId="59AEFA2D" w:rsidR="00B81C86" w:rsidRDefault="00B81C86" w:rsidP="00B81C86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28C06611" w14:textId="016FB0FA" w:rsidR="00B81C86" w:rsidRDefault="00B81C86" w:rsidP="00B81C86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34E514E7" w14:textId="535FBEF7" w:rsidR="006711E1" w:rsidRDefault="006711E1" w:rsidP="00B81C86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4C3AD5CB" w14:textId="59E4C026" w:rsidR="006711E1" w:rsidRPr="006711E1" w:rsidRDefault="006711E1" w:rsidP="006711E1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6711E1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Los resultados se informarán vía correo electrónico desde el Área de Investigación de la Clínica.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Los investigadores Principales deberán enviar sus proyectos al CEC, con cuya aprobación se podrá dar inicio al protocolo y a la entrega de recursos.</w:t>
      </w:r>
    </w:p>
    <w:p w14:paraId="30D5DD5A" w14:textId="77777777" w:rsidR="006711E1" w:rsidRDefault="006711E1" w:rsidP="006711E1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0828B7AC" w14:textId="68A7D620" w:rsidR="006711E1" w:rsidRPr="006711E1" w:rsidRDefault="006711E1" w:rsidP="006711E1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6711E1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Toda consulta sobre el presente concurso se podrá dirigir al Coordinador de Investigación de la Clínica, Dr. Aarón Cortés – </w:t>
      </w:r>
      <w:hyperlink r:id="rId10" w:history="1">
        <w:r w:rsidRPr="006711E1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acortes@clinicauandes.cl</w:t>
        </w:r>
      </w:hyperlink>
      <w:r w:rsidRPr="006711E1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="004145A9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o </w:t>
      </w:r>
      <w:hyperlink r:id="rId11" w:history="1">
        <w:r w:rsidR="004145A9" w:rsidRPr="007E1563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Investigacion@clinicauandes.cl</w:t>
        </w:r>
      </w:hyperlink>
      <w:r w:rsidRPr="006711E1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1B2DEF1C" w14:textId="77777777" w:rsidR="006711E1" w:rsidRPr="00B81C86" w:rsidRDefault="006711E1" w:rsidP="00B81C86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sectPr w:rsidR="006711E1" w:rsidRPr="00B81C86" w:rsidSect="008705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17" w:right="1701" w:bottom="1417" w:left="1701" w:header="426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1FF1" w14:textId="77777777" w:rsidR="00031947" w:rsidRDefault="00031947" w:rsidP="00D0245E">
      <w:r>
        <w:separator/>
      </w:r>
    </w:p>
  </w:endnote>
  <w:endnote w:type="continuationSeparator" w:id="0">
    <w:p w14:paraId="4929C71D" w14:textId="77777777" w:rsidR="00031947" w:rsidRDefault="00031947" w:rsidP="00D0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C219" w14:textId="77777777" w:rsidR="00225747" w:rsidRDefault="00225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7ED1" w14:textId="77777777" w:rsidR="00D0245E" w:rsidRDefault="00D0245E" w:rsidP="00D0245E">
    <w:pPr>
      <w:pStyle w:val="Piedepgina"/>
      <w:jc w:val="center"/>
    </w:pPr>
    <w:r>
      <w:rPr>
        <w:noProof/>
      </w:rPr>
      <w:drawing>
        <wp:inline distT="0" distB="0" distL="0" distR="0" wp14:anchorId="04F78146" wp14:editId="2626FED9">
          <wp:extent cx="3048000" cy="609048"/>
          <wp:effectExtent l="0" t="0" r="0" b="63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047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B2E9" w14:textId="77777777" w:rsidR="00225747" w:rsidRDefault="00225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D8AE" w14:textId="77777777" w:rsidR="00031947" w:rsidRDefault="00031947" w:rsidP="00D0245E">
      <w:r>
        <w:separator/>
      </w:r>
    </w:p>
  </w:footnote>
  <w:footnote w:type="continuationSeparator" w:id="0">
    <w:p w14:paraId="4201BDFD" w14:textId="77777777" w:rsidR="00031947" w:rsidRDefault="00031947" w:rsidP="00D0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75E8" w14:textId="77777777" w:rsidR="00225747" w:rsidRDefault="00225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38F7" w14:textId="1B6B13F9" w:rsidR="00D0245E" w:rsidRDefault="00D0245E" w:rsidP="00D0245E">
    <w:pPr>
      <w:pStyle w:val="Encabezado"/>
      <w:ind w:left="-1134"/>
    </w:pPr>
    <w:r>
      <w:rPr>
        <w:noProof/>
      </w:rPr>
      <w:drawing>
        <wp:inline distT="0" distB="0" distL="0" distR="0" wp14:anchorId="7431347D" wp14:editId="1EB79C65">
          <wp:extent cx="1821681" cy="933450"/>
          <wp:effectExtent l="0" t="0" r="762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98" cy="95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3E11" w14:textId="77777777" w:rsidR="00225747" w:rsidRDefault="00225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98A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5A37"/>
    <w:multiLevelType w:val="hybridMultilevel"/>
    <w:tmpl w:val="03E60E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C6A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A5873"/>
    <w:multiLevelType w:val="hybridMultilevel"/>
    <w:tmpl w:val="E53608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7B3D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E48AA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A74ECD"/>
    <w:multiLevelType w:val="hybridMultilevel"/>
    <w:tmpl w:val="9566D06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FA2D02"/>
    <w:multiLevelType w:val="hybridMultilevel"/>
    <w:tmpl w:val="E5DCCD8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B95775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596B15"/>
    <w:multiLevelType w:val="hybridMultilevel"/>
    <w:tmpl w:val="095EACC8"/>
    <w:lvl w:ilvl="0" w:tplc="E2BCDB6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CIDFont+F1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4F3C"/>
    <w:multiLevelType w:val="hybridMultilevel"/>
    <w:tmpl w:val="0AC2368A"/>
    <w:lvl w:ilvl="0" w:tplc="340A0011">
      <w:start w:val="1"/>
      <w:numFmt w:val="decimal"/>
      <w:lvlText w:val="%1)"/>
      <w:lvlJc w:val="left"/>
      <w:pPr>
        <w:ind w:left="1134" w:hanging="360"/>
      </w:p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561821C3"/>
    <w:multiLevelType w:val="hybridMultilevel"/>
    <w:tmpl w:val="CD32AE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1">
      <w:start w:val="1"/>
      <w:numFmt w:val="decimal"/>
      <w:lvlText w:val="%2)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25B7B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462BC7"/>
    <w:multiLevelType w:val="hybridMultilevel"/>
    <w:tmpl w:val="339EA42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3">
      <w:start w:val="1"/>
      <w:numFmt w:val="upperRoman"/>
      <w:lvlText w:val="%2."/>
      <w:lvlJc w:val="righ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532CF5"/>
    <w:multiLevelType w:val="hybridMultilevel"/>
    <w:tmpl w:val="3D5E8CD8"/>
    <w:lvl w:ilvl="0" w:tplc="D728BE68">
      <w:start w:val="1"/>
      <w:numFmt w:val="bullet"/>
      <w:lvlText w:val="-"/>
      <w:lvlJc w:val="left"/>
      <w:pPr>
        <w:ind w:left="709" w:hanging="360"/>
      </w:pPr>
      <w:rPr>
        <w:rFonts w:ascii="Arial Nova Light" w:eastAsiaTheme="minorHAnsi" w:hAnsi="Arial Nova Light" w:cs="CIDFont+F1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7A75401F"/>
    <w:multiLevelType w:val="hybridMultilevel"/>
    <w:tmpl w:val="EC3C383E"/>
    <w:lvl w:ilvl="0" w:tplc="600C4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C1B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65117"/>
    <w:multiLevelType w:val="hybridMultilevel"/>
    <w:tmpl w:val="2C0A0A0C"/>
    <w:lvl w:ilvl="0" w:tplc="F78AF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6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012071">
    <w:abstractNumId w:val="15"/>
  </w:num>
  <w:num w:numId="3" w16cid:durableId="1421557719">
    <w:abstractNumId w:val="1"/>
  </w:num>
  <w:num w:numId="4" w16cid:durableId="949626576">
    <w:abstractNumId w:val="3"/>
  </w:num>
  <w:num w:numId="5" w16cid:durableId="1987663044">
    <w:abstractNumId w:val="4"/>
  </w:num>
  <w:num w:numId="6" w16cid:durableId="1959407716">
    <w:abstractNumId w:val="2"/>
  </w:num>
  <w:num w:numId="7" w16cid:durableId="2118063254">
    <w:abstractNumId w:val="5"/>
  </w:num>
  <w:num w:numId="8" w16cid:durableId="601959300">
    <w:abstractNumId w:val="13"/>
  </w:num>
  <w:num w:numId="9" w16cid:durableId="1872768959">
    <w:abstractNumId w:val="11"/>
  </w:num>
  <w:num w:numId="10" w16cid:durableId="1575092599">
    <w:abstractNumId w:val="10"/>
  </w:num>
  <w:num w:numId="11" w16cid:durableId="884489619">
    <w:abstractNumId w:val="12"/>
  </w:num>
  <w:num w:numId="12" w16cid:durableId="1119952978">
    <w:abstractNumId w:val="8"/>
  </w:num>
  <w:num w:numId="13" w16cid:durableId="1462188098">
    <w:abstractNumId w:val="6"/>
  </w:num>
  <w:num w:numId="14" w16cid:durableId="1821725583">
    <w:abstractNumId w:val="7"/>
  </w:num>
  <w:num w:numId="15" w16cid:durableId="1446652948">
    <w:abstractNumId w:val="14"/>
  </w:num>
  <w:num w:numId="16" w16cid:durableId="2136288090">
    <w:abstractNumId w:val="9"/>
  </w:num>
  <w:num w:numId="17" w16cid:durableId="1583565477">
    <w:abstractNumId w:val="0"/>
  </w:num>
  <w:num w:numId="18" w16cid:durableId="2142377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zNjQ1NjcHkobGxko6SsGpxcWZ+XkgBca1AHaLExIsAAAA"/>
  </w:docVars>
  <w:rsids>
    <w:rsidRoot w:val="008372E6"/>
    <w:rsid w:val="00017473"/>
    <w:rsid w:val="000248CA"/>
    <w:rsid w:val="00031947"/>
    <w:rsid w:val="00040DE6"/>
    <w:rsid w:val="0011377F"/>
    <w:rsid w:val="001202C3"/>
    <w:rsid w:val="001E11AD"/>
    <w:rsid w:val="001E3599"/>
    <w:rsid w:val="00225747"/>
    <w:rsid w:val="00282A6D"/>
    <w:rsid w:val="002F63A0"/>
    <w:rsid w:val="00353104"/>
    <w:rsid w:val="00361D6F"/>
    <w:rsid w:val="004145A9"/>
    <w:rsid w:val="004C58EB"/>
    <w:rsid w:val="005945EE"/>
    <w:rsid w:val="006711E1"/>
    <w:rsid w:val="00694345"/>
    <w:rsid w:val="006A316A"/>
    <w:rsid w:val="00747910"/>
    <w:rsid w:val="00810D7B"/>
    <w:rsid w:val="008372E6"/>
    <w:rsid w:val="00841ABB"/>
    <w:rsid w:val="0087054A"/>
    <w:rsid w:val="008747E7"/>
    <w:rsid w:val="00901941"/>
    <w:rsid w:val="0094054E"/>
    <w:rsid w:val="00967D0B"/>
    <w:rsid w:val="00A378EF"/>
    <w:rsid w:val="00B63AE9"/>
    <w:rsid w:val="00B81C86"/>
    <w:rsid w:val="00BF0FA5"/>
    <w:rsid w:val="00BF76A2"/>
    <w:rsid w:val="00C24E23"/>
    <w:rsid w:val="00C941EC"/>
    <w:rsid w:val="00D0245E"/>
    <w:rsid w:val="00D31CD2"/>
    <w:rsid w:val="00D84D8A"/>
    <w:rsid w:val="00DE4270"/>
    <w:rsid w:val="00E266F0"/>
    <w:rsid w:val="00EA0E35"/>
    <w:rsid w:val="00EB00B4"/>
    <w:rsid w:val="00EC5669"/>
    <w:rsid w:val="00ED10D7"/>
    <w:rsid w:val="00ED4DCA"/>
    <w:rsid w:val="00F802A9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19C01"/>
  <w15:chartTrackingRefBased/>
  <w15:docId w15:val="{3413326D-3E2A-4D49-A2A9-CBD1793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2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2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4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2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4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4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5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11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vestigacion@clinicauandes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cortes@clinicauandes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vestigacion@clinicauandes.cl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6" ma:contentTypeDescription="Crear nuevo documento." ma:contentTypeScope="" ma:versionID="3c95695f4bcf055d6d8568e93fac77c2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3eb69015ed3dbec4a116544d02abe0ba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F196F81E-16C1-4BF1-AC0E-3CE659264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A545A-5F4D-4C93-820E-69C9B47F44D8}"/>
</file>

<file path=customXml/itemProps3.xml><?xml version="1.0" encoding="utf-8"?>
<ds:datastoreItem xmlns:ds="http://schemas.openxmlformats.org/officeDocument/2006/customXml" ds:itemID="{997935D0-217B-47A4-A15D-33CBB3998499}"/>
</file>

<file path=customXml/itemProps4.xml><?xml version="1.0" encoding="utf-8"?>
<ds:datastoreItem xmlns:ds="http://schemas.openxmlformats.org/officeDocument/2006/customXml" ds:itemID="{AF50F506-5EAF-4FC1-9486-4E15690D1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Somarriva Lira</dc:creator>
  <cp:keywords/>
  <dc:description/>
  <cp:lastModifiedBy>Aaron Aranis Cortes Rojas</cp:lastModifiedBy>
  <cp:revision>14</cp:revision>
  <cp:lastPrinted>2021-11-04T18:28:00Z</cp:lastPrinted>
  <dcterms:created xsi:type="dcterms:W3CDTF">2021-08-17T14:14:00Z</dcterms:created>
  <dcterms:modified xsi:type="dcterms:W3CDTF">2022-08-10T19:25:00Z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